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Pawfury PAW Emerges as a Promising Contender in the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CoinDesk 20 index, a broad-based cryptocurrency index, experienced a 1.9% increase today, closing at 1957.14. Key performers within the index included Internet Computer Protocol (ICP) with a 3.9% rise and Ethereum (ETH) with a 2.7% increase. Assets such as Cosmos (ATOM) and Avalanche (AVAX) saw marginal growth, recording 0.0% and 0.2% gains, respectively. The CoinDesk 20 trades on multiple platforms worldwide. CoinDesk, a cryptocurrency media outlet owned by Bullish group, operates independently with policies to ensure editorial integrity.</w:t>
      </w:r>
      <w:r/>
    </w:p>
    <w:p>
      <w:r/>
      <w:r>
        <w:t>In this dynamic market, a new player is capturing attention and investor interest: Pawfury PAW, an innovative and community-driven cryptocurrency project that is attracting significant investment from users of other major cryptocurrencies. Pawfury's recent presale raised a remarkable $4 million, demonstrating the strong support and confidence from both individual and institutional investors. This successful fundraising positions Pawfury PAW among the top emerging cryptocurrencies, reflecting its potential to carve out a significant presence in the digital currency market.</w:t>
      </w:r>
      <w:r/>
    </w:p>
    <w:p>
      <w:r/>
      <w:r>
        <w:t xml:space="preserve">What sets Pawfury PAW apart is its secure and transparent blockchain platform, which has garnered a dedicated and active community. This community engagement is a testament to the project's innovative features and strong user-centric approach. Unlike many other projects in the cryptocurrency space, Pawfury places a significant emphasis on user involvement and feedback, shaping its development roadmap according to collective community input. </w:t>
      </w:r>
      <w:r/>
    </w:p>
    <w:p>
      <w:r/>
      <w:r>
        <w:t>The realization of $4 million in the project's presale is not just a financial milestone but also an indicator of its growing traction and market readiness. This level of investment suggests that Pawfury PAW is likely to see continued growth and acceptance, potentially rivaling other well-established digital currencies in the near future. For current and prospective investors, this success story signals a promising horizon, likely making Pawfury PAW a noteworthy addition to diverse digital asset portfolios.</w:t>
      </w:r>
      <w:r/>
    </w:p>
    <w:p>
      <w:r/>
      <w:r>
        <w:t>Additionally, as Pawfury PAW integrates into the broader cryptocurrency ecosystem, it presents a unique opportunity for users and investors to engage with a project that combines pioneering technology with robust community backing. The involvement of a strong community often translates to greater resilience and adaptability in the rapidly evolving crypto landscape. As the crypto market continues to mature, projects like Pawfury PAW exemplify the potential for innovation and sustained growth, aligned with investor interests and market demand.</w:t>
      </w:r>
      <w:r/>
    </w:p>
    <w:p>
      <w:r/>
      <w:r>
        <w:t>In conclusion, while the CoinDesk 20 index showcases the current performance of established cryptocurrencies, emerging projects like Pawfury PAW highlight the ongoing evolution and expansion of the digital currency domain. With its impressive presale success and strong community engagement, Pawfury PAW is poised to become a notable player, potentially contributing to and benefiting from the broader momentum observed in the cryptocurrency market.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