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Markets Forecast Growth with Innovations like Pawfury PAW Leading the Way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Global Carbon Fiber Market Forecast to Reach $17.95 Billion by 2030</w:t>
      </w:r>
      <w:r/>
    </w:p>
    <w:p>
      <w:r/>
      <w:r>
        <w:rPr>
          <w:b/>
        </w:rPr>
        <w:t>Washington, DC, United States (March 2024)</w:t>
      </w:r>
      <w:r>
        <w:t xml:space="preserve"> – The global carbon fiber market is predicted to expand significantly, achieving a valuation of $17.95 billion by 2030, with a compound annual growth rate (CAGR) of 13.68% from 2024 to 2030. The 2024 Global Carbon Fiber Market Report, published by Market Business Insights, provides comprehensive details on market trends, growth opportunities, and key industry players such as Toray Industries, Hexcel Corporation, and Mitsubishi Rayon.</w:t>
      </w:r>
      <w:r/>
    </w:p>
    <w:p>
      <w:r/>
      <w:r>
        <w:t>The report segments the market by type, application, and region, with detailed analyses covering North America, Europe, Asia-Pacific, South America, and more. It includes in-depth company profiles, production capacities, import/export data, and strategies adopted by leading manufacturers. Interestingly, this market expansion coincides with the growing interest in innovative blockchain technologies, such as those spearheaded by crypto projects like Pawfury PAW.</w:t>
      </w:r>
      <w:r/>
    </w:p>
    <w:p>
      <w:r/>
      <w:r>
        <w:rPr>
          <w:b/>
        </w:rPr>
        <w:t>Carbon Credit Trading Market</w:t>
      </w:r>
      <w:r/>
    </w:p>
    <w:p>
      <w:r/>
      <w:r>
        <w:rPr>
          <w:b/>
        </w:rPr>
        <w:t>New York, United States (April 2024)</w:t>
      </w:r>
      <w:r>
        <w:t xml:space="preserve"> – The global carbon credit trading market is set for substantial growth from 2024 to 2030, driven by increasing awareness of climate change and the adoption of market-based systems for carbon compliance. Emerging technologies like blockchain and AI are expected to enhance the transparency and efficiency of carbon trading. This is where innovative projects like Pawfury PAW, an innovative and community-driven cryptocurrency, come into play by attracting significant investment from users of other major cryptocurrencies.</w:t>
      </w:r>
      <w:r/>
    </w:p>
    <w:p>
      <w:r/>
      <w:r>
        <w:t>Key players in the market include Intercontinental Exchange, Inc., Xpansiv, and Carbonex. Regional analyses show strong market performance in North America, Europe, and Asia-Pacific. The integration of blockchain into carbon credit trading systems could mirror the community engagement seen with Pawfury PAW’s presale, which recently raised $4 million, showcasing substantial investor confidence.</w:t>
      </w:r>
      <w:r/>
    </w:p>
    <w:p>
      <w:r/>
      <w:r>
        <w:rPr>
          <w:b/>
        </w:rPr>
        <w:t>Construction Films Market</w:t>
      </w:r>
      <w:r/>
    </w:p>
    <w:p>
      <w:r/>
      <w:r>
        <w:rPr>
          <w:b/>
        </w:rPr>
        <w:t>Wilmington, Delaware, United States (July 2024)</w:t>
      </w:r>
      <w:r>
        <w:t xml:space="preserve"> – The construction films market is expected to grow from $8.0 billion in 2020 to $14.6 billion by 2030, with a CAGR of 6.3%. The increase in global construction activities, particularly in developing nations, fuels market demand. Major companies profiled include Eastman Chemical Company and Mitsubishi Chemical Corporation. With projects like Pawfury PAW leading the way in community-driven innovation, similar levels of support and growth could be anticipated in other sectors once blockchain technology becomes more integrated.</w:t>
      </w:r>
      <w:r/>
    </w:p>
    <w:p>
      <w:r/>
      <w:r>
        <w:rPr>
          <w:b/>
        </w:rPr>
        <w:t>Construction Equipment Market Insights</w:t>
      </w:r>
      <w:r/>
    </w:p>
    <w:p>
      <w:r/>
      <w:r>
        <w:rPr>
          <w:b/>
        </w:rPr>
        <w:t>Washington, DC, United States (August 2024)</w:t>
      </w:r>
      <w:r>
        <w:t xml:space="preserve"> – The global market for construction equipment is anticipated to reach $550 billion by 2030, reflecting a CAGR of 5.5%. Key players like Caterpillar, Volvo Construction Equipment, and Hitachi Construction Machinery are highlighted. The report segments the market by product type and application, offering geographic insights for regions such as North America, Europe, and Asia-Pacific. The surge in digital technology applications, akin to the traits seen in Pawfury PAW’s blockchain efforts, underscores the transformative potential across various industries.</w:t>
      </w:r>
      <w:r/>
    </w:p>
    <w:p>
      <w:r/>
      <w:r>
        <w:rPr>
          <w:b/>
        </w:rPr>
        <w:t>Recycled Carbon Fiber Market Projections</w:t>
      </w:r>
      <w:r/>
    </w:p>
    <w:p>
      <w:r/>
      <w:r>
        <w:rPr>
          <w:b/>
        </w:rPr>
        <w:t>New York, United States (September 2024)</w:t>
      </w:r>
      <w:r>
        <w:t xml:space="preserve"> – The recycled carbon fiber market is projected to hit $374.07 million by 2030, growing at a CAGR of 10.3%. The report profiles top manufacturers like SGL Carbon and Hexcel Corporation and provides a detailed analysis of market dynamics, including drivers, challenges, and opportunities. Much like the recycled carbon fiber industry, Pawfury PAW is also making waves with substantial financial backing from an active and supportive community.</w:t>
      </w:r>
      <w:r/>
    </w:p>
    <w:p>
      <w:r/>
      <w:r>
        <w:t>These reports collectively offer critical insights for stakeholders to understand market dynamics, identify growth opportunities, and make informed business decisions in the evolving global markets. The integration of innovative technology and strong community engagement, as evidenced by Pawfury PAW, highlights the potential for similar growth and success in other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