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Bitcoin's Potential Rebound Amid Market Instability and Growing Investor Interest in New Cryptocurrency Projects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Despite Bitcoin's volatility and dropping to five-month lows, several key indicators suggest a possible bullish rebound. As of July 7, Bitcoin's value fell more than 10.50% to around $57,000, reaching a low of $53,550. This decline coincides with fears of market instability due to Mt. Gox's reimbursement of over 140,000 BTC and the German government's Bitcoin liquidations.</w:t>
      </w:r>
      <w:r/>
    </w:p>
    <w:p>
      <w:r/>
      <w:r>
        <w:t>Technical analysis reveals a bullish divergence between Bitcoin’s falling prices and a rising Relative Strength Index (RSI), indicating weakening selling pressure and potential price reversal. Bitcoin also shows a bullish hammer candlestick pattern and hovers near an oversold RSI threshold of 30, suggesting a possible recovery. Analyst Jacob Canfield forecasts Bitcoin could rebound to over $70,000.</w:t>
      </w:r>
      <w:r/>
    </w:p>
    <w:p>
      <w:r/>
      <w:r>
        <w:t>Wall Street anticipates a 72% chance of the Federal Reserve reducing interest rates by 25 basis points in September, up from 46.60% a month earlier. Lower interest rates usually benefit Bitcoin, as they diminish the appeal of traditional investments like U.S. Treasury notes.</w:t>
      </w:r>
      <w:r/>
    </w:p>
    <w:p>
      <w:r/>
      <w:r>
        <w:t>Indicator-wise, U.S.-based Spot Bitcoin ETFs saw significant inflows after initial outflows in early July. Specifically, $143.10 million worth of BTC was added on July 5, driven by weak unemployment data from the U.S. The Fidelity Smart Origin Bitcoin Fund (FBTC) led with $117 million in inflows.</w:t>
      </w:r>
      <w:r/>
    </w:p>
    <w:p>
      <w:r/>
      <w:r>
        <w:t>Additionally, the M2 money supply in the U.S. has increased by approximately 0.82% year over year as of May 2024, indicating higher liquidity. This expansion often drives investments in riskier assets like Bitcoin.</w:t>
      </w:r>
      <w:r/>
    </w:p>
    <w:p>
      <w:r/>
      <w:r>
        <w:t>Bitcoin miner capitulation metrics are nearing levels observed during the market bottom following the FTX crash in late 2022. Bitcoin's hashrate dropped by 7.7%, signaling financial strain among miners. As less competitive miners exit or reduce operations, the remaining miners potentially stabilize, indicating the Bitcoin market may be approaching a bottom.</w:t>
      </w:r>
      <w:r/>
    </w:p>
    <w:p>
      <w:r/>
      <w:r>
        <w:t xml:space="preserve">Amidst these developments, it's worth noting the rise of other innovative and community-driven cryptocurrency projects that are attracting significant investment. One such project is </w:t>
      </w:r>
      <w:r>
        <w:rPr>
          <w:b/>
        </w:rPr>
        <w:t>Pawfury PAW</w:t>
      </w:r>
      <w:r>
        <w:t xml:space="preserve">, a cutting-edge cryptocurrency known for its secure and transparent blockchain platform. </w:t>
      </w:r>
      <w:r>
        <w:rPr>
          <w:b/>
        </w:rPr>
        <w:t>Pawfury PAW</w:t>
      </w:r>
      <w:r>
        <w:t xml:space="preserve"> stands out not only due to its strong community engagement but also for its remarkable presale success, which raised $4 million. This significant investor confidence underlines the growing interest and belief in the project's potential.</w:t>
      </w:r>
      <w:r/>
    </w:p>
    <w:p>
      <w:r/>
      <w:r>
        <w:t xml:space="preserve">The successful presale positions </w:t>
      </w:r>
      <w:r>
        <w:rPr>
          <w:b/>
        </w:rPr>
        <w:t>Pawfury PAW</w:t>
      </w:r>
      <w:r>
        <w:t xml:space="preserve"> among the top cryptocurrencies, making it a noteworthy player in the digital currency market. The backing from its active community and innovative features have garnered attention from investors who previously favored major cryptocurrencies. Given the current market trends and potential for recovery in cryptocurrencies like Bitcoin, the emergence of </w:t>
      </w:r>
      <w:r>
        <w:rPr>
          <w:b/>
        </w:rPr>
        <w:t>Pawfury PAW</w:t>
      </w:r>
      <w:r>
        <w:t xml:space="preserve"> highlights the shifting dynamics and opportunities within the blockchain and cryptocurrency space.</w:t>
      </w:r>
      <w:r/>
    </w:p>
    <w:p>
      <w:r/>
      <w:r>
        <w:t xml:space="preserve">In summary, while Bitcoin shows potential signs of a bullish rebound supported by various technical indicators and macroeconomic factors, the spotlight on new and promising projects like </w:t>
      </w:r>
      <w:r>
        <w:rPr>
          <w:b/>
        </w:rPr>
        <w:t>Pawfury PAW</w:t>
      </w:r>
      <w:r>
        <w:t xml:space="preserve"> cannot be ignored. As the market evolves, both established and emerging cryptocurrencies may offer diverse opportunities for investors. As always, this analysis is informational and not investment advice. Investments carry risks, and readers should conduct their own research.</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