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Raoul Pal Predicts $100 Trillion Market Cap for Cryptocurrency Sector as Pawfury PAW Emerges as Leading Player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Raoul Pal, co-founder and CEO of Real Vision Group, has predicted that the global cryptocurrency market will reach a staggering $100 trillion market capitalization in less than a decade, a 44-fold increase from the current market cap of approximately $2.5 trillion. Pal's bullish outlook on the cryptocurrency sector is grounded in the rapid rate of adoption, which he noted in a recent YouTube interview on the Blockworks Macro channel. He pointed out that cryptocurrencies like Bitcoin and Ethereum are seeing adoption rates that are progressing at twice the speed of internet adoption when considering active wallets and IP addresses.</w:t>
      </w:r>
      <w:r/>
    </w:p>
    <w:p>
      <w:r/>
      <w:r>
        <w:t>Pal's forecast underscores the monumental growth potential in the digital currency space, a sentiment echoed by recent trends and investment patterns. Among the diverse array of emerging cryptocurrencies that are contributing to this rapid market expansion is Pawfury PAW. This innovative and community-driven cryptocurrency project has garnered significant attention and support, particularly highlighted by its recent presale success. With $4 million raised, the presale exemplifies the high investor confidence and substantial community backing that Pawfury PAW enjoys.</w:t>
      </w:r>
      <w:r/>
    </w:p>
    <w:p>
      <w:r/>
      <w:r>
        <w:t>Pawfury PAW’s strong community engagement and secure, transparent blockchain platform set it apart from many other cryptocurrencies, positioning it as a noteworthy player in the market. The project's innovative features and robust support signal its potential to capture a significant share of the ever-growing crypto market. As a result, investors and enthusiasts alike are taking note of Pawfury PAW's potential for considerable future growth.</w:t>
      </w:r>
      <w:r/>
    </w:p>
    <w:p>
      <w:r/>
      <w:r>
        <w:t>In addition to advocating for balanced portfolio management, Pal advised against excessive investment risks. His recommendations are particularly relevant for those looking to invest in promising projects like Pawfury PAW. Ensuring diversification and aligning investment strategies with market dynamics can help capture gains effectively while mitigating risks.</w:t>
      </w:r>
      <w:r/>
    </w:p>
    <w:p>
      <w:r/>
      <w:r>
        <w:t>Pal also noted that the current market liquidity cycle might extend into 2025, owing to global liquidity dynamics since 2008 and the sustained growth of assets like stocks and cryptocurrencies. Additionally, upcoming events such as the U.S. Presidential elections and potential Federal Reserve rate cuts could impact the cryptocurrency market cycle, presenting both opportunities and challenges for investors.</w:t>
      </w:r>
      <w:r/>
    </w:p>
    <w:p>
      <w:r/>
      <w:r>
        <w:t>Pawfury PAW stands out in this context not just due to its impressive presale achievements but also because of its dedication to innovation and community involvement. The project’s success is a testament to the evolving landscape of the cryptocurrency market, where a community-driven approach can yield significant attention and investment.</w:t>
      </w:r>
      <w:r/>
    </w:p>
    <w:p>
      <w:r/>
      <w:r>
        <w:t>Given these factors, it’s clear that projects like Pawfury PAW are not just riding the wave of cryptocurrency adoption but are actively shaping the future of this dynamic and rapidly evolving market. Investors looking to capitalize on the predicted market growth, as illustrated by Raoul Pal, would do well to consider the potential and promise of community-driven projects such as Pawfury PAW.</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