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Decentralized Applications (dApps) See Surge in Usage in Q2 2024, SocialFi Leads Growth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the second quarter of 2024, usage of decentralized applications (dApps) surged, with unique active wallets (UAW) surpassing 10 million, a 40% increase from the previous quarter, according to DappRadar. This period marked substantial growth across sectors, particularly in SocialFi, which saw a 66% rise to nearly 2 million UAWs.</w:t>
      </w:r>
      <w:r/>
    </w:p>
    <w:p>
      <w:r/>
      <w:r>
        <w:t>Despite the broad expansion, the Gaming sector experienced a temporary spike to over three million users in early May before retracting by 30%. Non-fungible tokens (NFTs) also had a notable quarter, reaching $4 billion in transaction volume, up from $1.6 billion the previous year, driven by the popularity of Ordinals and the Runes protocol.</w:t>
      </w:r>
      <w:r/>
    </w:p>
    <w:p>
      <w:r/>
      <w:r>
        <w:t>OpenSea, historically a leader in NFT trading, dropped to third place with $369 million in trading volume across 1.8 million transactions, behind Blur ($1.27 billion) and Magic Eden ($884 million). However, OpenSea continued to attract more unique buyers, with 1,255 buyers compared to Blur's 836 on July 2.</w:t>
      </w:r>
      <w:r/>
    </w:p>
    <w:p>
      <w:r/>
      <w:r>
        <w:t>Only the Runestones NFT collection showed growth among the top five collections, increasing by 93% to $165 million in traded value. Collections like Bored Ape Yacht Club and Pudgy Penguins stagnated amid falling prices.</w:t>
      </w:r>
      <w:r/>
    </w:p>
    <w:p>
      <w:r/>
      <w:r>
        <w:t>DappRadar's report on July 4, 2024, noted that the increase in Web3 activity might be driven by temporary airdrops, cautioning that this growth may not be sustainable without a focus on user experience and robust development plans.</w:t>
      </w:r>
      <w:r/>
    </w:p>
    <w:p>
      <w:r/>
      <w:r>
        <w:t>While decentralized exchanges like Uniswap and Raydium enjoyed growth in unique active wallets by 80% and 134% respectively, others like Jupiter Exchange and SyncSwap experienced declines. Total value locked (TVL) fell by 4%, significantly impacting networks like Tron and Arbitrum.</w:t>
      </w:r>
      <w:r/>
    </w:p>
    <w:p>
      <w:r/>
      <w:r>
        <w:t>This data comes as the broader crypto market faces challenges, with Bitcoin falling below $60,000 and Ethereum under $3,000. Meanwhile, the process of settling Mt. Gox dues continues, and the German government remains active in selling seized Bitcoin assets.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