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Bitcoin's Volatility: Influences and Potential Impacts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Bitcoin recently went through its fourth halving event, followed by a significant price rally to a new all-time high. The halving event, which reduces the reward for mining new blocks by 50%, tends to influence market behavior, investor sentiment, and long-term price trends by decreasing supply.</w:t>
      </w:r>
      <w:r/>
    </w:p>
    <w:p>
      <w:r/>
      <w:r>
        <w:t>Several factors contributed to Bitcoin's price movements. Regulatory developments in various countries have fostered a more favorable environment for cryptocurrency trading and usage. Anticipation of potential approval for spot Bitcoin Exchange-Traded Funds (ETFs) in the U.S. has also generated excitement, as such approval would likely bring greater mainstream acceptance and liquidity to the market.</w:t>
      </w:r>
      <w:r/>
    </w:p>
    <w:p>
      <w:r/>
      <w:r>
        <w:t>However, Bitcoin remains vulnerable to economic stress and regulatory uncertainty. Retail investors largely drive the market, making it susceptible to severe volatility. Any hint of tighter crypto regulations or legal actions can provoke sharp price swings. Bitcoin's reactions to economic variables like inflation or interest rate changes are more erratic compared to traditional assets like gold or stocks.</w:t>
      </w:r>
      <w:r/>
    </w:p>
    <w:p>
      <w:r/>
      <w:r>
        <w:t>Global economic events significantly impact Bitcoin's price. Until 2021, Bitcoin was considered uncorrelated with traditional assets. However, the interest rate hikes in 2022 and the fall of FTX led to market declines, with Bitcoin experiencing a sharp decrease similar to the NASDAQ index.</w:t>
      </w:r>
      <w:r/>
    </w:p>
    <w:p>
      <w:r/>
      <w:r>
        <w:t>Regulatory changes can also affect Bitcoin's volatility. For instance, China's ban on Bitcoin-related activities in April 2021 led to a major price drop. Conversely, the anticipation of the SEC's decision to authorize a spot Bitcoin ETF positively impacted Bitcoin's price in 2023. Regulatory certainty can instill greater confidence in both retail and institutional investors, potentially leading to increased market participation and upward price pressure.</w:t>
      </w:r>
      <w:r/>
    </w:p>
    <w:p>
      <w:r/>
      <w:r>
        <w:t>"Whales," or large holders of Bitcoin, also exert a significant influence on the market due to the concentration of substantial holdings. Their large transactions can set off chain reactions, causing significant price swings. Technological developments, such as the Lightning Network, aim to improve Bitcoin’s functionality for trade, though they do not directly address its core volatility.</w:t>
      </w:r>
      <w:r/>
    </w:p>
    <w:p>
      <w:r/>
      <w:r>
        <w:t>Institutional engagement remains limited but could either mitigate or exacerbate volatility depending on the nature of their participation. The evolving dynamics of Bitcoin mining also play a crucial role, especially around halving events when block rewards diminish and operational costs escalate, potentially introducing additional volatility.</w:t>
      </w:r>
      <w:r/>
    </w:p>
    <w:p>
      <w:r/>
      <w:r>
        <w:t>In summary, while efforts to enhance regulatory clarity, technological security, and institutional engagement continue, Bitcoin is likely to remain volatile in the short term. Its speculative nature, driven by investor sentiment and market dynamics, suggests that volatility will remain a core characteristic for the foreseeable future.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