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Crypto Volatility and Financial Portfolios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Crypto Volatility and Its Future</w:t>
      </w:r>
      <w:r/>
    </w:p>
    <w:p>
      <w:r/>
      <w:r>
        <w:t>Bitcoin’s volatility remains a critical consideration for financial advisors. André Dragosch from ETC Group highlights how this volatility is expected to decline progressively, particularly as Bitcoin becomes increasingly scarce with every halving, the next anticipated in 2028. Each halving, occurring approximately every four years, reduces Bitcoin's supply growth by 50%, making it a rarer resource, similar to gold.</w:t>
      </w:r>
      <w:r/>
    </w:p>
    <w:p>
      <w:r/>
      <w:r>
        <w:t>Over the past three months, Bitcoin and Ethereum have shown annualized volatility rates of about 45% to 50%, respectively, which is significantly higher than the 15% volatility rate of the S&amp;P 500. Surveys, such as one by Fidelity, indicate that this high volatility is a primary reason many institutional investors hesitate to invest in cryptocurrencies.</w:t>
      </w:r>
      <w:r/>
    </w:p>
    <w:p>
      <w:r/>
      <w:r>
        <w:t>However, there is an observed trend of decreasing volatility. Historical data shows that Bitcoin's volatility has reduced from around 200% in its early years to currently about 45%, with similar trends for Ethereum. This decline is partially attributed to the increasing scarcity of Bitcoin with each halving and growing retail and institutional adoption, which adds diversity to the pool of investors, consequently reducing volatility.</w:t>
      </w:r>
      <w:r/>
    </w:p>
    <w:p>
      <w:r/>
      <w:r>
        <w:t>Bryan Courchesne, CEO of DAIM, discusses how advisors can navigate this volatility. Advisors are encouraged to consider the overall interaction of assets within a well-balanced portfolio, focusing on diversification to manage volatility. Crypto assets, with their low correlation to traditional assets, can play a crucial role in reducing overall portfolio volatility, thus smoothing investment returns over time.</w:t>
      </w:r>
      <w:r/>
    </w:p>
    <w:p>
      <w:r/>
      <w:r>
        <w:t>Looking ahead, the systematic decline in volatility is likely to continue. The increasing integration of crypto assets into mainstream financial systems and their evolving nature as more stable investments suggest a promising future for their inclusion in diversified portfolios.</w:t>
      </w:r>
      <w:r/>
    </w:p>
    <w:p>
      <w:r/>
      <w:r>
        <w:rPr>
          <w:b/>
        </w:rPr>
        <w:t>Key Developments:</w:t>
      </w:r>
      <w:r>
        <w:t>- Bitcoin's next halving is expected in 2028. - Revised spot Ether ETF filings are due by July 8. - 21Shares filed for a spot Solana ETF with the U.S. SEC on June 28. - Bitcoin ETFs experienced significant inflows recently, with Fidelity leading at $65 million.</w:t>
      </w:r>
      <w:r/>
    </w:p>
    <w:p>
      <w:r/>
      <w:r>
        <w:t>This perspective underlines the evolving landscape of cryptocurrency investments and their potential role in financial portfolios.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