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Polkadot Sparks Speculation with 'KOLKADOT' Rebrand Proposal on Social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Polkadot, the blockchain protocol innovating in the Web3 space, recently caused a stir with a social media post suggesting a rebrand to “KOLKADOT.” The announcement, made via the official Polkadot Network Twitter account, quickly sparked a frenzy of speculation among investors and enthusiasts. The post read, "community voted, we’re rebranding to KOLKADOT," which was quickly interpreted by many as a humorous engagement tactic rather than a serious proposal.</w:t>
      </w:r>
      <w:r/>
    </w:p>
    <w:p>
      <w:r/>
      <w:r>
        <w:t>The event comes amid underlying tensions within the Polkadot community, notably around issues related to the treatment of core developers and criticisms regarding the effectiveness of its substantial marketing budget. Despite these internal challenges, Polkadot continues to push forward with its technical advancements. One notable upcoming development is the JAM Protocol, a new smart contract engine designed to streamline the parachain auction system.</w:t>
      </w:r>
      <w:r/>
    </w:p>
    <w:p>
      <w:r/>
      <w:r>
        <w:t>Market sentiment around Polkadot remains mixed. While some analysts predict a potential price increase of 227% by August 2024, current investor sentiment is bearish, as indicated by the "Fear &amp; Greed Index." The cryptocurrency has faced significant volatility recently, adding to the uncertainty surrounding its future.</w:t>
      </w:r>
      <w:r/>
    </w:p>
    <w:p>
      <w:r/>
      <w:r>
        <w:t>Polkadot’s ability to balance technological innovation with a cohesive community and navigate the volatile market will be crucial. The success of its new initiatives, like the JAM Protocol, will depend on addressing internal conflicts and fostering a more collaborative environment.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