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Kamala Harris's Potential Impact on Cryptocurrency in the 2024 Presidential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Presidential Race 2024: Kamala Harris Emerges as Key Contender</w:t>
      </w:r>
      <w:r/>
    </w:p>
    <w:p>
      <w:r/>
      <w:r>
        <w:t>As the 2024 presidential race heats up, Vice President Kamala Harris has emerged as a potential Democratic nominee following President Joe Biden's recent debate performance against Donald Trump. Harris currently holds a 14% chance of winning the election, according to betting site Polymarket, compared to Biden’s 12% and Trump’s 63%.</w:t>
      </w:r>
      <w:r/>
    </w:p>
    <w:p>
      <w:r/>
      <w:r>
        <w:t>One key issue where Harris’s stance remains unclear is cryptocurrency. The Biden administration has largely been adversarial towards the crypto industry, but Harris's position on the matter is unknown as she has not made any public comments or taken an official stance on crypto.</w:t>
      </w:r>
      <w:r/>
    </w:p>
    <w:p>
      <w:r/>
      <w:r>
        <w:t>Financial disclosures reveal that Harris and her husband, Douglas Emhoff, do not have investments in cryptocurrency, preferring Treasury bonds and emerging markets. However, her connections to the tech industry are notable. During her 2020 campaign, she employed Ryan Montoya, former CTO of the Sacramento Kings, a team known for accepting Bitcoin and launching NFTs.</w:t>
      </w:r>
      <w:r/>
    </w:p>
    <w:p>
      <w:r/>
      <w:r>
        <w:t>Montoya now holds an administrative role in the White House, but it is unclear if he influences policy. Harris's ties to Silicon Valley could suggest a more favorable stance towards technology and crypto, though this remains speculative.</w:t>
      </w:r>
      <w:r/>
    </w:p>
    <w:p>
      <w:r/>
      <w:r>
        <w:t xml:space="preserve">In parallel, former President Trump’s evolving views on cryptocurrency, influenced by substantial donations from the crypto sector, may also impact the regulatory landscape should he win the presidency. </w:t>
      </w:r>
      <w:r/>
    </w:p>
    <w:p>
      <w:r/>
      <w:r>
        <w:t>VanEck is currently seeking approval for a Solana ETF, facing stringent conditions under SEC Chair Gary Gensler. Analysts suggest a leadership change post-2024 could be pivotal in easing these regulatory challenges, further intertwining the upcoming election with the future of crypto regulation.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