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Developments Across Real Estate, Crypto, and Web3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Smart Urban Development and Innovative Real-Estate Strategies</w:t>
      </w:r>
      <w:r/>
    </w:p>
    <w:p>
      <w:r/>
      <w:r>
        <w:t>Keith Kerr, founder of The Development Studio, discusses the company’s evolution, focusing on design and adaptability in Hong Kong’s competitive real-estate market. Meanwhile, Ando Living chairman Hakan Kodal emphasizes the company’s efforts to improve neighborhood connectivity, seize opportunities in the serviced apartment market, and expand into key European cities.</w:t>
      </w:r>
      <w:r/>
    </w:p>
    <w:p>
      <w:r/>
      <w:r>
        <w:rPr>
          <w:b/>
        </w:rPr>
        <w:t>Mantle and Filecoin: Market Performance and Developer Updates</w:t>
      </w:r>
      <w:r/>
    </w:p>
    <w:p>
      <w:r/>
      <w:r>
        <w:t>As the market faces challenges, Mantle (MNT) and Filecoin show positive trends. Mantle (MNT), a Layer-2 scaling solution on the Ethereum blockchain launched in January 2023, recently surged 4.6% in price. This performance is due to its expansion with new protocols and partnerships, including integrations with xyfinance, ApeX Dex, Swapsicle DEX, and Circuit Protocol, and a collaboration with Okapi for authentic reviews.</w:t>
      </w:r>
      <w:r/>
    </w:p>
    <w:p>
      <w:r/>
      <w:r>
        <w:t>Filecoin, a decentralized data storage marketplace, announced that GetBlock now supports its native token, $FIL. This integration allows easier connection to the Filecoin blockchain for Web3 applications. The initiative includes flexible pricing and simplified deployment of DeFi protocols, play-to-earn apps, and crypto exchanges.</w:t>
      </w:r>
      <w:r/>
    </w:p>
    <w:p>
      <w:r/>
      <w:r>
        <w:rPr>
          <w:b/>
        </w:rPr>
        <w:t>BlockDAG: Presale Success and Long-term Potential</w:t>
      </w:r>
      <w:r/>
    </w:p>
    <w:p>
      <w:r/>
      <w:r>
        <w:t>BlockDAG, noted for its Low Code No Code ecosystem, has raised over $55.4 million in its presale, with a 1300% price increase from $0.001 to $0.014. This success reflects strong investor confidence. The platform supports easy creation of utility tokens, meme tokens, and NFTs, promoting user accessibility. BlockDAG’s scalable infrastructure encourages diverse decentralized applications, positioning it as a significant player in the next crypto bull run.</w:t>
      </w:r>
      <w:r/>
    </w:p>
    <w:p>
      <w:r/>
      <w:r>
        <w:rPr>
          <w:b/>
        </w:rPr>
        <w:t>DWF Labs Launches $20 Million Cloudbreak Fund</w:t>
      </w:r>
      <w:r/>
    </w:p>
    <w:p>
      <w:r/>
      <w:r>
        <w:t>DWF Labs introduced the $20 million Cloudbreak Fund to support Web3 projects in Chinese-speaking regions. The fund will nurture initiatives in GameFi, SocialFi, Memecoins, Derivatives, and Layer-1/Layer-2 infrastructure projects. Andrei Grachev, Managing Partner at DWF Labs, highlighted the importance of supporting these rapidly growing projects. DWF Labs, with an extensive network of over 700 projects, aims to accelerate growth and establish a solid presence in the Web3 ecosystem through Cloudbreak Fund, emphasizing their commitment to innovation and growth within the space.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