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Greek Company Avax Secures Energy Production Contract in Iraq while Midor Completes Refinery Expansion in Egypt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Avax, a Greek construction group, has secured a contract with Mass Group Holding (MGH) to design, build, and operate a 282-megawatt open-cycle energy production unit in Iraq. Located in Bismayah, southeast of Baghdad, the project is set to cost $82 million and will be completed in 12 months. The unit's operation is scheduled to commence in the summer of 2025, marking the third energy unit at the Bismayah station assigned to Avax.</w:t>
      </w:r>
      <w:r/>
    </w:p>
    <w:p>
      <w:r/>
      <w:r>
        <w:t>Meanwhile, the Middle East Oil Refinery Co. (Midor), affiliated with the Egyptian General Petroleum Corp., has finished an expansion project at its refinery in the El Amreya Free Zone near Alexandria, Egypt. Completion took place in late June 2024 under the management of Technip Energies NV, which served as the main engineering, procurement, and construction contractor. The project, initially announced in 2018 and planned for early 2022 completion, had a final cost of $2.7 billion.</w:t>
      </w:r>
      <w:r/>
    </w:p>
    <w:p>
      <w:r/>
      <w:r>
        <w:t>The expansion increased the refinery's crude oil processing capacity from 100,000 barrels per stream day (b/sd) to 160,000 b/sd and upgraded production to Euro 5-quality standards. The upgraded facility is operational at 95% capacity, producing high-octane gasoline, Euro 5 diesel, LPG, coke, and sulfur, which aligns with Egypt’s Ministry of Petroleum and Mineral Resources' objectives to enhance refinery efficiency and meet domestic petroleum demand.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