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Futureverse and Animoca Brands Partner to Boost Web3 Development with $5 Million Equity Swap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Futureverse and Animoca Brands have announced a strategic partnership to advance Web3 development. Futureverse specializes in AI and metaverse technologies, while Animoca Brands focuses on digital property rights and blockchain-based products. The collaboration aims to enhance Futureverse’s metaverse technology stack through Animoca Brands' ecosystem, which includes over 400 Web3 projects.</w:t>
      </w:r>
      <w:r/>
    </w:p>
    <w:p>
      <w:r/>
      <w:r>
        <w:t>As part of the partnership, both companies have agreed to an equity swap valued at $5 million. This mutual investment will support the growth of the Futureverse Platform and its generative AI technology, integrating it within Animoca Brands’ portfolio.</w:t>
      </w:r>
      <w:r/>
    </w:p>
    <w:p>
      <w:r/>
      <w:r>
        <w:t>The partnership will also accelerate the expansion of the Futureverse token ecosystem, which consists of The Root Network’s ROOT token, the ASTO token for AI protocols, and the SYLO token for communication and social graph protocols. Futureverse’s technology stack aims to blend Web2 accessibility with Web3 interoperability, featuring tools such as a digital passport, dynamic object transfer, and generative AI assets.</w:t>
      </w:r>
      <w:r/>
    </w:p>
    <w:p>
      <w:r/>
      <w:r>
        <w:t>This collaboration is expected to foster innovation and broaden the influence of both companies within the open metaverse.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