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Eco-Friendly Cryptocurrencies: Algorand, Solana, and Cardano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Green Cryptocurrencies: An Overview of Eco-Friendly Alternatives</w:t>
      </w:r>
      <w:r/>
    </w:p>
    <w:p>
      <w:r/>
      <w:r>
        <w:t>Cryptocurrencies, particularly Bitcoin, have faced criticism due to their significant carbon footprint. However, some cryptocurrencies are designed to be environmentally friendly, utilizing less energy and incorporating sustainable practices. Notable examples include Algorand (ALGO), Solana (SOL), and Cardano (ADA).</w:t>
      </w:r>
      <w:r/>
    </w:p>
    <w:p>
      <w:pPr>
        <w:pStyle w:val="Heading4"/>
      </w:pPr>
      <w:r>
        <w:t>Algorand (ALGO)</w:t>
      </w:r>
      <w:r/>
    </w:p>
    <w:p>
      <w:r/>
      <w:r>
        <w:t>Algorand announced its carbon-negative status on Earth Day 2022. The blockchain utilizes a proof-of-stake model, minimizing energy consumption for transaction validations. Algorand introduced a smart contract that offsets the carbon footprint of each transaction automatically, and part of its network fees are earmarked for purchasing carbon credits via ClimateTrade. As of now, ALGO trades at $0.1371, with a bearish trend indicated by its position below the 200-day Exponential Moving Average (EMA).</w:t>
      </w:r>
      <w:r/>
    </w:p>
    <w:p>
      <w:pPr>
        <w:pStyle w:val="Heading4"/>
      </w:pPr>
      <w:r>
        <w:t>Solana (SOL)</w:t>
      </w:r>
      <w:r/>
    </w:p>
    <w:p>
      <w:r/>
      <w:r>
        <w:t>Renowned for its speed and efficiency, Solana processes over 2,000 transactions per second, with potential handling capacity up to 65,000. Utilizing Proof-of-History (PoH), a variant of the proof-of-stake model, Solana ensures fast, low-energy transaction validations. One SOL transaction consumes approximately 719 kilojoules (kJ), less than a typical Google search. The price of SOL is expected to increase, driven by ETF-related developments.</w:t>
      </w:r>
      <w:r/>
    </w:p>
    <w:p>
      <w:pPr>
        <w:pStyle w:val="Heading4"/>
      </w:pPr>
      <w:r>
        <w:t>Cardano (ADA)</w:t>
      </w:r>
      <w:r/>
    </w:p>
    <w:p>
      <w:r/>
      <w:r>
        <w:t xml:space="preserve">Cardano is celebrated for its eco-friendly approach and real-world applications, such as storing Ethiopian state school records on its blockchain. Utilizing a proof-of-stake model, Cardano selects validators based on their staked ADA, significantly reducing energy usage. The Cardano Foundation has also undertaken restoration projects, including planting over one million trees. Currently, ADA is valued at $0.391, trading below the 200-day EMA, indicative of a bearish trend. </w:t>
      </w:r>
      <w:r/>
    </w:p>
    <w:p>
      <w:r/>
      <w:r>
        <w:t>These examples illustrate that cryptocurrency can be aligned with sustainability goals, offering potential investment opportunities for those mindful of environmental impacts.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