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DWF Labs Launches $20M Cloudbreak Fund to Support Web3 Projects in Chinese-Speaking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DWF Labs, a major player in the Web3 investment and market-making arena, announced the launch of the Cloudbreak Fund on July 4, 2024. This initiative, backed with $20 million in liquidity, targets promising blockchain projects and founders in Chinese-speaking regions. The fund aims to provide these projects with the necessary resources and infrastructure to thrive within the Web3 ecosystem.</w:t>
      </w:r>
      <w:r/>
    </w:p>
    <w:p>
      <w:r/>
      <w:r>
        <w:t>The Cloudbreak Fund will support initiatives across various Web3 sectors including GameFi, SocialFi, meme coins, derivatives, and layer-1/layer-2 infrastructure. Andrei Grachev, Managing Partner at DWF Labs, highlighted the growth potential of tech developers and community builders in these regions, noting their diligent work ethic and cultural strengths.</w:t>
      </w:r>
      <w:r/>
    </w:p>
    <w:p>
      <w:r/>
      <w:r>
        <w:t>Projects meeting the fund's criteria are encouraged to apply for the opportunity to enhance their development and establish a stronger presence within the Web3 landscape. This new initiative builds on DWF Labs' history of supporting over 700 projects globally and affirms their ongoing commitment to the progress and support of Web3 innovations.</w:t>
      </w:r>
      <w:r/>
    </w:p>
    <w:p>
      <w:r/>
      <w:r>
        <w:t>DWF Labs has been recognized as Bybit’s Best Liquidity Provider of 2024 and remains active in various regions, including the MENA area, where they have partnered with DMCC to establish a $5 million growth platform for Web3 businesses. This comprehensive approach not only offers financial backing but also strategic branding, marketing distribution, and key opinion leader networks essential for project success.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