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DWF Labs Launches $20 Million Cloudbreak Fund to Support Chinese-Speaking Web3 Projects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DWF Labs Launches $20 Million Cloudbreak Fund for Chinese-Speaking Web3 Projects</w:t>
      </w:r>
      <w:r/>
    </w:p>
    <w:p>
      <w:r/>
      <w:r>
        <w:t>DWF Labs has introduced the Cloudbreak Fund, a $20 million initiative aimed at fostering promising Web3 projects and founders in Chinese-speaking regions. The fund targets projects in GameFi, Derivatives, SocialFi, Memecoins, and Layer 1/Layer 2 infrastructure.</w:t>
      </w:r>
      <w:r/>
    </w:p>
    <w:p>
      <w:r/>
      <w:r>
        <w:t>The project aims to provide localized projects with the resources they need to present their ideas globally and advance Web3 technology, supporting their growth and development. Andrei Grachev, the Managing Partner at DWF Labs, highlighted that the firm has been involved with founders in these regions since 2018 and recognizes the need for continued support due to recent steady increases in project numbers.</w:t>
      </w:r>
      <w:r/>
    </w:p>
    <w:p>
      <w:r/>
      <w:r>
        <w:t>With its expertise in Web3 investment and market-making, DWF Labs offers not only capital but also a roster of over 700 partner projects. As a leading liquidity provider, DWF Labs is positioned to assist projects interested in tokenization.</w:t>
      </w:r>
      <w:r/>
    </w:p>
    <w:p>
      <w:r/>
      <w:r>
        <w:t>This initiative builds on previous commitments, such as a $5 million growth fund for Web3 and blockchain firms in the MENA region, announced earlier this year. The Cloudbreak Fund reflects DWF Labs' global commitment to nurturing Web3 innovation.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