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Deutsche Telekom MMS and Subsquid Partner to Strengthen Web3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Deutsche Telekom MMS has partnered with Subsquid to enhance Web3 infrastructure by operating dedicated worker nodes within Subsquid’s decentralized data lake, effective since June 3rd. This collaboration involves over 700 corporate and individual nodes, contributing to efficient blockchain data access. Subsquid’s platform offers scalable and decentralized data solutions, distinguishing itself by bypassing traditional centralized APIs and RPC nodes.</w:t>
      </w:r>
      <w:r/>
    </w:p>
    <w:p>
      <w:r/>
      <w:r>
        <w:t>Dirk Röder from Deutsche Telekom MMS highlighted the partnership's role in reinforcing Web3 infrastructure, while Marcel Fohrmann from Subsquid emphasized its significance for securing decentralized data access. Deutsche Telekom MMS continues to expand its presence in the Web3 domain, leveraging its expertise in digital transformation and IT solutions.</w:t>
      </w:r>
      <w:r/>
    </w:p>
    <w:p>
      <w:r/>
      <w:r>
        <w:t>Additionally, Freename has announced a collaboration with Fireblocks to enhance security for Web3 domain users. Fireblocks’ custody solutions, including Multi-Signature Authentication, will protect Freename’s domains against unauthorized access. This partnership aims to improve digital asset management and security, benefiting users by providing enhanced protection and control over their digital assets.</w:t>
      </w:r>
      <w:r/>
    </w:p>
    <w:p>
      <w:r/>
      <w:r>
        <w:t>Davide Vicini from Freename expressed enthusiasm about the improved security measures, reflecting significant advancements in domain custody services within the Web3 space. This collaboration highlights the evolving nature of digital asset management and sets a new standard for security and user control in the Web3 era.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