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Push to Expand Its Carbon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China’s Push to Expand Its Carbon Market</w:t>
      </w:r>
      <w:r/>
    </w:p>
    <w:p>
      <w:r/>
      <w:r>
        <w:t xml:space="preserve">China is set to make significant adjustments to its national carbon market, which has been operational for three years. In January, the country reintroduced certified carbon emission reductions (CCERs). This move marks the beginning of expansions that will see the voluntary market extend beyond power plants to include various primary manufacturing sectors. </w:t>
      </w:r>
      <w:r/>
    </w:p>
    <w:p>
      <w:r/>
      <w:r>
        <w:t xml:space="preserve">On a recent Tuesday, China’s Ministry of Ecology and Environment (MEE) released draft regulations aimed at tightening carbon allowances for participants in the mandatory national Emissions Trading System (ETS). These new rules aim to increase market activity and encourage power generators to adopt greener and low-carbon technologies. </w:t>
      </w:r>
      <w:r/>
    </w:p>
    <w:p>
      <w:r/>
      <w:r>
        <w:t>These steps are part of China’s broader efforts to enhance its carbon market and drive forward its environmental goals.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