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BlockDAG's Presale Triumph, Arweave's AO Computer Launch, and VeBetterDAO's Sustainable Vision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BlockDAG’s Presale Success, Arweave’s AO Computer, and VeBetterDAO’s Sustainability Initiative</w:t>
      </w:r>
      <w:r/>
    </w:p>
    <w:p>
      <w:r/>
      <w:r>
        <w:rPr>
          <w:b/>
        </w:rPr>
        <w:t>BlockDAG Presale Achievement</w:t>
      </w:r>
      <w:r/>
    </w:p>
    <w:p>
      <w:r/>
      <w:r>
        <w:t>BlockDAG has swiftly risen within the cryptocurrency market, propelled by its innovative X1 Mining app that allows mobile users to mine up to 20 BDAG coins daily. The recent presale, amassing $55.6 million, saw a 1300% increase in its price, demonstrating strong investor interest. This has led to its high ranking on CoinSniper and comparisons to early-stage cryptos like Dogecoin and Shiba Inu. Predictions suggest the BDAG coin could reach $1 by the end of 2024 and $10 by 2025, highlighting its market potential.</w:t>
      </w:r>
      <w:r/>
    </w:p>
    <w:p>
      <w:r/>
      <w:r>
        <w:rPr>
          <w:b/>
        </w:rPr>
        <w:t>Arweave’s AO Computer for Scalable Storage</w:t>
      </w:r>
      <w:r/>
    </w:p>
    <w:p>
      <w:r/>
      <w:r>
        <w:t>Arweave, known for decentralized, permanent data storage, recently launched the AO Computer. This new system enhances scalability by enabling parallel task processing, which allows for independent application operation. The introduction of AO tokens to AR holders has garnered significant attention, solidifying Arweave's innovative edge in decentralized data storage and hosting.</w:t>
      </w:r>
      <w:r/>
    </w:p>
    <w:p>
      <w:r/>
      <w:r>
        <w:rPr>
          <w:b/>
        </w:rPr>
        <w:t>VeChain’s VeBetterDAO for Sustainable Blockchain</w:t>
      </w:r>
      <w:r/>
    </w:p>
    <w:p>
      <w:r/>
      <w:r>
        <w:t>Set to launch on June 28, 2024, VeChain’s VeBetterDAO aims to integrate sustainability into the blockchain sector. The mainnet update will introduce B3TR tokens, which will be distributed over 12 years. This initiative emphasizes community involvement through quadratic funding and voting, maintaining transparent decision-making in funding projects that foster sustainability.</w:t>
      </w:r>
      <w:r/>
    </w:p>
    <w:p>
      <w:r/>
      <w:r>
        <w:rPr>
          <w:b/>
        </w:rPr>
        <w:t>Venom Token’s Listings in India</w:t>
      </w:r>
      <w:r/>
    </w:p>
    <w:p>
      <w:r/>
      <w:r>
        <w:t>Venom Foundation has announced the listing of its native token, $VENOM, on Indian cryptocurrency exchanges WazirX and CoinDCX, providing access to over 30 million users. This strategic move diversifies Venom's market reach, aiming to enhance its presence and adoption in India’s rapidly growing crypto environment.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