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Bitcoin's Price Falls Below 200-Day Moving Average Amid Economic Uncertainty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Bitcoin's Price Falls Below 200-Day Moving Average</w:t>
      </w:r>
      <w:r/>
    </w:p>
    <w:p>
      <w:r/>
      <w:r>
        <w:t>Bitcoin's price fell below its 200-day simple moving average (SMA) on Thursday, dropping to around $57,300. This marks a significant decline from the last time it traded below this key long-term trend indicator in October, when it stood at $28,000. Since then, Bitcoin had risen to record highs above $70,000 by March, partly driven by speculation of a U.S. spot Bitcoin ETF.</w:t>
      </w:r>
      <w:r/>
    </w:p>
    <w:p>
      <w:r/>
      <w:r>
        <w:t>The decline accelerated as the cryptocurrency slipped under the 200-day SMA level of $58,492 during European trading hours. Markets trading below the 200-day moving average are generally seen as in a downtrend. The downward movement is heightened by the Federal Reserve's decision not to cut interest rates until they have more data on inflation, according to minutes from their latest meeting.</w:t>
      </w:r>
      <w:r/>
    </w:p>
    <w:p>
      <w:r/>
      <w:r>
        <w:t>Valentin Fournier, a digital assets analyst at advisory firm brn, stated that ongoing selling pressure and hawkish comments from Federal Reserve Chairman Jerome Powell might push Bitcoin's price down to $52,000. Similarly, FxPro senior market analyst Alex Kuptsikevich mentioned a potential slide to $51,500.</w:t>
      </w:r>
      <w:r/>
    </w:p>
    <w:p>
      <w:r/>
      <w:r>
        <w:t>Bitcoin's next support level, according to Fournier, is around $57,590. A breach of this trendline might lead to further declines as traders use such breakdowns to inform their trading strategies.</w:t>
      </w:r>
      <w:r/>
    </w:p>
    <w:p>
      <w:r/>
      <w:r>
        <w:t>Future movements may also be influenced by the upcoming U.S. non-farm payrolls report, which the Labor Department is set to release. This report could provide further insights into economic conditions affecting both traditional and cryptocurrency markets.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