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YieldMax Reveals High Monthly Distributions for Key ETFs Driven by Options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YieldMax Announces Monthly Distributions for Key ETFs</w:t>
      </w:r>
      <w:r/>
    </w:p>
    <w:p>
      <w:r/>
      <w:r>
        <w:t>YieldMax has announced the latest monthly distributions for a selection of its Exchange Traded Funds (ETFs), including significant returns for some of its key offerings. The ETFs, which are designed to provide income through options-based strategies on notable stocks, showed high distribution rates this month, with MSTY and NVDY taking the lead with rates exceeding 100%.</w:t>
      </w:r>
      <w:r/>
    </w:p>
    <w:p>
      <w:pPr>
        <w:pStyle w:val="Heading3"/>
      </w:pPr>
      <w:r>
        <w:t>Key Distribution Rates Announced</w:t>
      </w:r>
      <w:r/>
    </w:p>
    <w:p>
      <w:r/>
      <w:r>
        <w:t>The YieldMax MSTY ETF, based on MicroStrategy (MSTR), posted a distribution rate of 101.60%, calculated as an annual yield. Similarly, the NVDY ETF, whose reference asset is Nvidia (NVDA), recorded a distribution rate of 101.58%. Other notable ETFs include the CONY ETF, based on Coinbase (COIN), at 90.37%, and the YBIT ETF, which tracks Bitcoin, at 83.67%. These results reflect YieldMax's approach of leveraging options strategies to generate income for ETF holders.</w:t>
      </w:r>
      <w:r/>
    </w:p>
    <w:p>
      <w:pPr>
        <w:pStyle w:val="Heading3"/>
      </w:pPr>
      <w:r>
        <w:t>Methodology and Context</w:t>
      </w:r>
      <w:r/>
    </w:p>
    <w:p>
      <w:r/>
      <w:r>
        <w:t>The distribution rates are derived from applying option income strategies on the reference assets. The rate is calculated by annualizing the most recent distribution (multiplied by 12) and dividing by the ETF's most recent Net Asset Value (NAV). Nonetheless, YieldMax cautions that these yields might not be sustainable over the long term due to fluctuating market conditions, which might not persist in the future.</w:t>
      </w:r>
      <w:r/>
    </w:p>
    <w:p>
      <w:pPr>
        <w:pStyle w:val="Heading3"/>
      </w:pPr>
      <w:r>
        <w:t>Payment and Record Dates</w:t>
      </w:r>
      <w:r/>
    </w:p>
    <w:p>
      <w:r/>
      <w:r>
        <w:t>For all the highlighted ETFs, the ex-date and record date are set for July 5, 2024, with the payment date scheduled for July 8, 2024. These dates are significant for investors interested in knowing when they must hold shares to be eligible for the forthcoming distribution.</w:t>
      </w:r>
      <w:r/>
    </w:p>
    <w:p>
      <w:pPr>
        <w:pStyle w:val="Heading3"/>
      </w:pPr>
      <w:r>
        <w:t>Risks and Considerations</w:t>
      </w:r>
      <w:r/>
    </w:p>
    <w:p>
      <w:r/>
      <w:r>
        <w:t>While the announcement underscores attractive yields, YieldMax also emphasizes the risks inherent in these ETFs. The potential for principal loss, the variable nature of distributions, and specific strategy-related risks such as call writing and put writing strategies could all impact the returns. The company also points out counterparty risks associated with options contracts and liquidity risks, particularly during market turmoil.</w:t>
      </w:r>
      <w:r/>
    </w:p>
    <w:p>
      <w:r/>
      <w:r>
        <w:t>The ETFs are non-diversified, focusing on individual stocks or sectors, which can lead to higher volatility compared to diversified funds. For instance, the YieldMax TSLA Option Income Strategy ETF (TSLY) has a distribution rate of 70.99%, reflecting the performance volatility of Tesla as the underlying asset.</w:t>
      </w:r>
      <w:r/>
    </w:p>
    <w:p>
      <w:pPr>
        <w:pStyle w:val="Heading3"/>
      </w:pPr>
      <w:r>
        <w:t>Strategic Implications</w:t>
      </w:r>
      <w:r/>
    </w:p>
    <w:p>
      <w:r/>
      <w:r>
        <w:t>The announcement sheds light on how YieldMax leverages option income strategies to generate high yields. The ETFs are designed to enable investors to benefit from the options market while gaining exposure to specific prominent stocks like Apple, Amazon, and Microsoft.</w:t>
      </w:r>
      <w:r/>
    </w:p>
    <w:p>
      <w:pPr>
        <w:pStyle w:val="Heading3"/>
      </w:pPr>
      <w:r>
        <w:t>Investor Guidance</w:t>
      </w:r>
      <w:r/>
    </w:p>
    <w:p>
      <w:r/>
      <w:r>
        <w:t>YieldMax advises potential investors to consider the information detailed in the prospectuses before investing. The prospectuses articulate the funds' investment objectives, risks, charges, and expenses, providing a comprehensive view of what investors can expect.</w:t>
      </w:r>
      <w:r/>
    </w:p>
    <w:p>
      <w:pPr>
        <w:pStyle w:val="Heading3"/>
      </w:pPr>
      <w:r>
        <w:t>Market Reception</w:t>
      </w:r>
      <w:r/>
    </w:p>
    <w:p>
      <w:r/>
      <w:r>
        <w:t>Given the substantial distribution rates, the announcement may attract income-focused investors, particularly those looking to capitalize on the currently favorable market conditions. However, the inherent risks might make these ETFs more suitable for experienced investors who can navigate the complexities of options markets.</w:t>
      </w:r>
      <w:r/>
    </w:p>
    <w:p>
      <w:pPr>
        <w:pStyle w:val="Heading3"/>
      </w:pPr>
      <w:r>
        <w:t>Conclusion</w:t>
      </w:r>
      <w:r/>
    </w:p>
    <w:p>
      <w:r/>
      <w:r>
        <w:t>YieldMax's announcement of high distribution rates for its ETFs underscores the firm's capability to generate income through innovative financial strategies. However, the associated risks and the potential for variability in future distributions necessitate a cautious and well-informed approach from investors. As the market conditions evolve, it will be essential for YieldMax to manage these funds effectively to sustain investor interest and confidence.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