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Cryptocurrency Industry Faces Significant Security Challenges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Cryptocurrency Industry Faces Significant Security Challenges in 2024</w:t>
      </w:r>
      <w:r/>
    </w:p>
    <w:p>
      <w:r/>
      <w:r>
        <w:rPr>
          <w:b/>
        </w:rPr>
        <w:t>New York, July 3, 2024</w:t>
      </w:r>
      <w:r>
        <w:t xml:space="preserve"> - The latest CertiK Web3 Security Report reveals that the cryptocurrency industry has lost $1.19 billion due to various security incidents in the first half of 2024. The notable incidents include the DMM Bitcoin attack, which resulted in a loss of $304 million, and the BtcTurk cyberattack, which saw $90 million stolen from hot wallets.</w:t>
      </w:r>
      <w:r/>
    </w:p>
    <w:p>
      <w:r/>
      <w:r>
        <w:t>Phishing attacks and private key compromises were identified as major contributors to these losses, accounting for $498 million. Ronghu Gu, co-founder of CertiK, emphasized the importance of multifactor authentication (MFA), such as two-factor authentication (2FA) and hardware wallets, to safeguard digital assets. Gu highlighted that all wallets holding significant funds should employ robust key management solutions.</w:t>
      </w:r>
      <w:r/>
    </w:p>
    <w:p>
      <w:r/>
      <w:r>
        <w:t>Despite the notable breaches, the industry observed a decline in the number of hacks and exploits in June, dropping by 54.2% compared to May. PeckShield data indicated that $176.2 million was lost to crypto hacks in June.</w:t>
      </w:r>
      <w:r/>
    </w:p>
    <w:p>
      <w:r/>
      <w:r>
        <w:t>In regulatory developments, the United States passed the FIT21 regulatory framework bill, designed to enhance consumer protections and support innovation within the cryptocurrency sector. This bill received bipartisan support and aims to create a safer environment for digital assets.</w:t>
      </w:r>
      <w:r/>
    </w:p>
    <w:p>
      <w:r/>
      <w:r>
        <w:t>The CertiK report underscores the need for continued vigilance and innovation in onchain security. While the first half of the year experienced significant losses, ongoing regulatory advancements and improved security practices are seen as vital measures to bolster the industry's resilience.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