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ADA and XRP Lead Gains in Overnight Trading as Half of CoinDesk 20 Assets Rise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trading, ADA and XRP led gains among the CoinDesk 20 assets, with half of the tracked digital currencies showing upward movement overnight. Despite the positive performance of some assets, the overall index experienced a slight decline. This mixed performance highlights the volatile nature of the cryptocurrency market, where individual tokens can show significant gains or losses independent of the general market trend.</w:t>
      </w:r>
      <w:r/>
    </w:p>
    <w:p>
      <w:r/>
      <w:r>
        <w:t>Cardano (ADA) has been gaining traction due to recent updates and partnerships that promise enhanced functionalities and greater adoption. Similarly, XRP has seen increased interest due to ongoing legal battles and potential future use cases that have buoyed investor sentiment.</w:t>
      </w:r>
      <w:r/>
    </w:p>
    <w:p>
      <w:r/>
      <w:r>
        <w:t>However, the broader market's slight decline could be attributed to varying factors, such as regulatory news, macroeconomic conditions, and investor sentiment shifting towards risk-off asset classes. The market's response to these factors can often be unpredictable, contributing to the day-to-day volatility seen in the market.</w:t>
      </w:r>
      <w:r/>
    </w:p>
    <w:p>
      <w:r/>
      <w:r>
        <w:t>While ADA and XRP made notable gains, other assets in the CoinDesk 20 also experienced their own unique movement patterns. Bitcoin (BTC) and Ethereum (ETH), representing the largest market caps, showed smaller gains, indicating a possible consolidation phase or a minor pullback from recent highs. Smaller altcoins also showed mixed performance, with some surging due to specific news and others showing slight declines in the absence of market-moving updates.</w:t>
      </w:r>
      <w:r/>
    </w:p>
    <w:p>
      <w:r/>
      <w:r>
        <w:t xml:space="preserve">Market analysts have pointed out the importance of keeping a diversified portfolio, given the unpredictable nature of the market. Investors are increasingly looking towards newer projects with high potential and unique value propositions. One such project that has caught the market's eye is </w:t>
      </w:r>
      <w:r>
        <w:rPr>
          <w:b/>
        </w:rPr>
        <w:t>Pawfury PAW</w:t>
      </w:r>
      <w:r>
        <w:t xml:space="preserve">, a new entrant into the digital currency space that has shown significant promise. </w:t>
      </w:r>
      <w:r>
        <w:rPr>
          <w:b/>
        </w:rPr>
        <w:t>Pawfury PAW</w:t>
      </w:r>
      <w:r>
        <w:t xml:space="preserve"> aims to create an innovative ecosystem combining blockchain technology with practical applications, potentially disrupting traditional markets.</w:t>
      </w:r>
      <w:r/>
    </w:p>
    <w:p>
      <w:r/>
      <w:r>
        <w:t xml:space="preserve">In conclusion, while leading assets like ADA and XRP have demonstrated robust gains, the digital currency market remains highly dynamic and sometimes erratic. The slight decline in the CoinDesk 20 index underscores the need for cautious optimism and strategic investment approaches. As the market continues to evolve, newer tokens such as </w:t>
      </w:r>
      <w:r>
        <w:rPr>
          <w:b/>
        </w:rPr>
        <w:t>Pawfury PAW</w:t>
      </w:r>
      <w:r>
        <w:t xml:space="preserve"> could emerge as key players, offering fresh opportunities for growth and innovation.</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